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 w:line="560" w:lineRule="exact"/>
        <w:jc w:val="center"/>
        <w:rPr>
          <w:rFonts w:ascii="LinTimes" w:hAnsi="LinTimes" w:eastAsia="华文中宋" w:cs="LinTimes"/>
          <w:b/>
          <w:color w:val="000000"/>
          <w:sz w:val="44"/>
          <w:szCs w:val="44"/>
        </w:rPr>
      </w:pPr>
    </w:p>
    <w:p>
      <w:pPr>
        <w:pStyle w:val="2"/>
      </w:pPr>
    </w:p>
    <w:p>
      <w:pPr>
        <w:spacing w:before="100" w:beforeAutospacing="1" w:after="100" w:afterAutospacing="1" w:line="560" w:lineRule="exact"/>
        <w:jc w:val="center"/>
        <w:rPr>
          <w:rFonts w:ascii="LinTimes" w:hAnsi="LinTimes" w:eastAsia="华文中宋" w:cs="LinTimes"/>
          <w:b/>
          <w:color w:val="000000"/>
          <w:sz w:val="44"/>
          <w:szCs w:val="44"/>
        </w:rPr>
      </w:pPr>
    </w:p>
    <w:p>
      <w:pPr>
        <w:spacing w:before="100" w:beforeAutospacing="1" w:after="100" w:afterAutospacing="1" w:line="560" w:lineRule="exact"/>
        <w:jc w:val="center"/>
        <w:outlineLvl w:val="0"/>
        <w:rPr>
          <w:rFonts w:ascii="LinTimes" w:hAnsi="LinTimes" w:eastAsia="华文中宋" w:cs="LinTimes"/>
          <w:b/>
          <w:color w:val="000000"/>
          <w:sz w:val="44"/>
          <w:szCs w:val="44"/>
          <w:lang w:val="en-AU"/>
        </w:rPr>
      </w:pPr>
      <w:bookmarkStart w:id="0" w:name="_Toc21855"/>
      <w:bookmarkStart w:id="1" w:name="_Toc29137"/>
      <w:r>
        <w:rPr>
          <w:rFonts w:hint="eastAsia" w:ascii="LinTimes" w:hAnsi="LinTimes" w:eastAsia="华文中宋" w:cs="LinTimes"/>
          <w:b/>
          <w:color w:val="000000"/>
          <w:sz w:val="44"/>
          <w:szCs w:val="44"/>
          <w:lang w:val="en-US" w:eastAsia="zh-CN"/>
        </w:rPr>
        <w:t>湖北省</w:t>
      </w:r>
      <w:r>
        <w:rPr>
          <w:rFonts w:hint="eastAsia" w:ascii="LinTimes" w:hAnsi="LinTimes" w:eastAsia="华文中宋" w:cs="LinTimes"/>
          <w:b/>
          <w:color w:val="000000"/>
          <w:sz w:val="44"/>
          <w:szCs w:val="44"/>
        </w:rPr>
        <w:t>第一届</w:t>
      </w:r>
      <w:r>
        <w:rPr>
          <w:rFonts w:hint="eastAsia" w:ascii="LinTimes" w:hAnsi="LinTimes" w:eastAsia="华文中宋" w:cs="LinTimes"/>
          <w:b/>
          <w:color w:val="000000"/>
          <w:sz w:val="44"/>
          <w:szCs w:val="44"/>
          <w:lang w:val="en-US" w:eastAsia="zh-CN"/>
        </w:rPr>
        <w:t>职业</w:t>
      </w:r>
      <w:r>
        <w:rPr>
          <w:rFonts w:hint="eastAsia" w:ascii="LinTimes" w:hAnsi="LinTimes" w:eastAsia="华文中宋" w:cs="LinTimes"/>
          <w:b/>
          <w:color w:val="000000"/>
          <w:sz w:val="44"/>
          <w:szCs w:val="44"/>
        </w:rPr>
        <w:t>技能大赛</w:t>
      </w:r>
      <w:bookmarkEnd w:id="0"/>
      <w:bookmarkEnd w:id="1"/>
    </w:p>
    <w:p>
      <w:pPr>
        <w:spacing w:line="560" w:lineRule="exact"/>
        <w:jc w:val="center"/>
        <w:outlineLvl w:val="0"/>
        <w:rPr>
          <w:rFonts w:ascii="LinTimes" w:hAnsi="LinTimes" w:eastAsia="华文中宋" w:cs="LinTimes"/>
          <w:b/>
          <w:sz w:val="44"/>
          <w:szCs w:val="44"/>
          <w:lang w:val="en-AU"/>
        </w:rPr>
      </w:pPr>
      <w:bookmarkStart w:id="2" w:name="_Toc5112"/>
      <w:bookmarkStart w:id="3" w:name="_Toc24400"/>
      <w:r>
        <w:rPr>
          <w:rFonts w:hint="eastAsia" w:ascii="LinTimes" w:hAnsi="LinTimes" w:eastAsia="华文中宋" w:cs="LinTimes"/>
          <w:b/>
          <w:color w:val="000000"/>
          <w:sz w:val="44"/>
          <w:szCs w:val="44"/>
          <w:lang w:val="en-US" w:eastAsia="zh-CN"/>
        </w:rPr>
        <w:t>家具制作</w:t>
      </w:r>
      <w:r>
        <w:rPr>
          <w:rFonts w:hint="eastAsia" w:ascii="LinTimes" w:hAnsi="LinTimes" w:eastAsia="华文中宋" w:cs="LinTimes"/>
          <w:b/>
          <w:color w:val="000000"/>
          <w:sz w:val="44"/>
          <w:szCs w:val="44"/>
        </w:rPr>
        <w:t>项目</w:t>
      </w:r>
      <w:r>
        <w:rPr>
          <w:rFonts w:hint="eastAsia" w:ascii="LinTimes" w:hAnsi="LinTimes" w:eastAsia="华文中宋" w:cs="LinTimes"/>
          <w:b/>
          <w:sz w:val="44"/>
          <w:szCs w:val="44"/>
          <w:lang w:val="en-AU"/>
        </w:rPr>
        <w:t>技术工作文件</w:t>
      </w:r>
      <w:bookmarkEnd w:id="2"/>
      <w:bookmarkEnd w:id="3"/>
    </w:p>
    <w:p>
      <w:pPr>
        <w:spacing w:line="560" w:lineRule="exact"/>
        <w:jc w:val="center"/>
        <w:rPr>
          <w:rFonts w:ascii="LinTimes" w:hAnsi="LinTimes" w:eastAsia="楷体_GB2312" w:cs="LinTimes"/>
          <w:bCs/>
          <w:sz w:val="32"/>
          <w:szCs w:val="32"/>
          <w:lang w:val="en-AU"/>
        </w:rPr>
      </w:pPr>
    </w:p>
    <w:p>
      <w:pPr>
        <w:pStyle w:val="7"/>
        <w:rPr>
          <w:rFonts w:ascii="LinTimes" w:hAnsi="LinTimes" w:eastAsia="微软雅黑" w:cs="LinTimes"/>
          <w:lang w:eastAsia="zh-CN"/>
        </w:rPr>
      </w:pP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pStyle w:val="2"/>
        <w:ind w:firstLine="640"/>
        <w:rPr>
          <w:rFonts w:ascii="LinTimes" w:hAnsi="LinTimes" w:cs="LinTimes"/>
          <w:lang w:val="en-AU"/>
        </w:rPr>
      </w:pPr>
    </w:p>
    <w:p>
      <w:pPr>
        <w:pStyle w:val="2"/>
        <w:ind w:firstLine="0" w:firstLineChars="0"/>
        <w:rPr>
          <w:rFonts w:ascii="LinTimes" w:hAnsi="LinTimes" w:cs="LinTimes"/>
          <w:lang w:val="en-AU"/>
        </w:rPr>
      </w:pPr>
    </w:p>
    <w:p>
      <w:pPr>
        <w:pStyle w:val="2"/>
        <w:ind w:firstLine="640"/>
        <w:rPr>
          <w:rFonts w:ascii="LinTimes" w:hAnsi="LinTimes" w:cs="LinTimes"/>
          <w:lang w:val="en-AU"/>
        </w:rPr>
      </w:pPr>
    </w:p>
    <w:p>
      <w:pPr>
        <w:pStyle w:val="2"/>
        <w:ind w:firstLine="640"/>
        <w:rPr>
          <w:rFonts w:ascii="LinTimes" w:hAnsi="LinTimes" w:cs="LinTimes"/>
          <w:lang w:val="en-AU"/>
        </w:rPr>
      </w:pPr>
    </w:p>
    <w:p>
      <w:pPr>
        <w:spacing w:line="560" w:lineRule="exact"/>
        <w:jc w:val="center"/>
        <w:rPr>
          <w:rFonts w:ascii="LinTimes" w:hAnsi="LinTimes" w:cs="LinTimes"/>
          <w:sz w:val="32"/>
          <w:szCs w:val="32"/>
          <w:lang w:val="en-AU"/>
        </w:rPr>
      </w:pPr>
      <w:r>
        <w:rPr>
          <w:rFonts w:hint="eastAsia" w:ascii="LinTimes" w:hAnsi="LinTimes" w:cs="LinTimes"/>
          <w:sz w:val="32"/>
          <w:szCs w:val="32"/>
          <w:lang w:val="en-US" w:eastAsia="zh-CN"/>
        </w:rPr>
        <w:t>家具制作项目专家</w:t>
      </w:r>
      <w:r>
        <w:rPr>
          <w:rFonts w:hint="eastAsia" w:ascii="LinTimes" w:hAnsi="LinTimes" w:cs="LinTimes"/>
          <w:sz w:val="32"/>
          <w:szCs w:val="32"/>
          <w:lang w:val="en-AU"/>
        </w:rPr>
        <w:t>组</w:t>
      </w:r>
    </w:p>
    <w:p>
      <w:pPr>
        <w:spacing w:line="560" w:lineRule="exact"/>
        <w:rPr>
          <w:rFonts w:ascii="LinTimes" w:hAnsi="LinTimes" w:cs="LinTimes"/>
          <w:lang w:val="en-AU"/>
        </w:rPr>
      </w:pPr>
    </w:p>
    <w:p>
      <w:pPr>
        <w:spacing w:line="560" w:lineRule="exact"/>
        <w:jc w:val="center"/>
        <w:rPr>
          <w:rFonts w:ascii="LinTimes" w:hAnsi="LinTimes" w:eastAsia="仿宋" w:cs="LinTimes"/>
          <w:sz w:val="32"/>
          <w:szCs w:val="32"/>
          <w:lang w:val="en-AU"/>
        </w:rPr>
      </w:pPr>
      <w:r>
        <w:rPr>
          <w:rFonts w:ascii="LinTimes" w:hAnsi="LinTimes" w:eastAsia="仿宋" w:cs="LinTimes"/>
          <w:sz w:val="32"/>
          <w:szCs w:val="32"/>
          <w:lang w:val="en-AU"/>
        </w:rPr>
        <w:t>202</w:t>
      </w:r>
      <w:r>
        <w:rPr>
          <w:rFonts w:hint="eastAsia" w:ascii="LinTimes" w:hAnsi="LinTimes" w:eastAsia="仿宋" w:cs="LinTimes"/>
          <w:sz w:val="32"/>
          <w:szCs w:val="32"/>
          <w:lang w:val="en-US" w:eastAsia="zh-CN"/>
        </w:rPr>
        <w:t>2</w:t>
      </w:r>
      <w:r>
        <w:rPr>
          <w:rFonts w:hint="eastAsia" w:ascii="LinTimes" w:hAnsi="LinTimes" w:eastAsia="仿宋" w:cs="LinTimes"/>
          <w:sz w:val="32"/>
          <w:szCs w:val="32"/>
          <w:lang w:val="en-AU"/>
        </w:rPr>
        <w:t>年</w:t>
      </w:r>
      <w:r>
        <w:rPr>
          <w:rFonts w:hint="eastAsia" w:ascii="LinTimes" w:hAnsi="LinTimes" w:eastAsia="仿宋" w:cs="LinTimes"/>
          <w:sz w:val="32"/>
          <w:szCs w:val="32"/>
          <w:lang w:val="en-US" w:eastAsia="zh-CN"/>
        </w:rPr>
        <w:t>10</w:t>
      </w:r>
      <w:r>
        <w:rPr>
          <w:rFonts w:hint="eastAsia" w:ascii="LinTimes" w:hAnsi="LinTimes" w:eastAsia="仿宋" w:cs="LinTimes"/>
          <w:sz w:val="32"/>
          <w:szCs w:val="32"/>
          <w:lang w:val="en-AU"/>
        </w:rPr>
        <w:t>月</w:t>
      </w:r>
    </w:p>
    <w:p>
      <w:pPr>
        <w:spacing w:after="160" w:line="560" w:lineRule="exact"/>
        <w:jc w:val="center"/>
        <w:rPr>
          <w:rFonts w:hint="eastAsia" w:ascii="LinTimes" w:hAnsi="LinTimes" w:eastAsia="仿宋" w:cs="LinTimes"/>
          <w:b/>
          <w:sz w:val="32"/>
          <w:szCs w:val="32"/>
        </w:rPr>
      </w:pPr>
    </w:p>
    <w:p>
      <w:pPr>
        <w:spacing w:after="160" w:line="560" w:lineRule="exact"/>
        <w:jc w:val="center"/>
        <w:rPr>
          <w:rFonts w:ascii="LinTimes" w:hAnsi="LinTimes" w:eastAsia="仿宋" w:cs="LinTimes"/>
          <w:sz w:val="32"/>
          <w:szCs w:val="32"/>
        </w:rPr>
      </w:pPr>
      <w:r>
        <w:rPr>
          <w:rFonts w:hint="eastAsia" w:ascii="LinTimes" w:hAnsi="LinTimes" w:eastAsia="仿宋" w:cs="LinTimes"/>
          <w:b/>
          <w:sz w:val="32"/>
          <w:szCs w:val="32"/>
        </w:rPr>
        <w:t>目</w:t>
      </w:r>
      <w:r>
        <w:rPr>
          <w:rFonts w:ascii="LinTimes" w:hAnsi="LinTimes" w:eastAsia="仿宋" w:cs="LinTimes"/>
          <w:b/>
          <w:sz w:val="32"/>
          <w:szCs w:val="32"/>
        </w:rPr>
        <w:t xml:space="preserve">   </w:t>
      </w:r>
      <w:r>
        <w:rPr>
          <w:rFonts w:hint="eastAsia" w:ascii="LinTimes" w:hAnsi="LinTimes" w:eastAsia="仿宋" w:cs="LinTimes"/>
          <w:b/>
          <w:sz w:val="32"/>
          <w:szCs w:val="32"/>
        </w:rPr>
        <w:t>录</w:t>
      </w:r>
    </w:p>
    <w:sdt>
      <w:sdtPr>
        <w:rPr>
          <w:rFonts w:ascii="宋体" w:hAnsi="宋体" w:eastAsia="宋体" w:cs="宋体"/>
          <w:kern w:val="2"/>
          <w:sz w:val="21"/>
          <w:szCs w:val="24"/>
          <w:lang w:val="en-US" w:eastAsia="zh-CN" w:bidi="ar-SA"/>
        </w:rPr>
        <w:id w:val="147466634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 w:val="0"/>
          <w:bCs w:val="0"/>
          <w:sz w:val="28"/>
          <w:szCs w:val="28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4" w:name="_Toc23569"/>
        </w:p>
        <w:p>
          <w:pPr>
            <w:pStyle w:val="26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_Toc3841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一、技术描述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_Toc3841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_Toc4304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（一）项目概要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_Toc4304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_Toc11374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（二）基本知识与能力要求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_Toc11374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_Toc15199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>选手应具备各项能力的主要内容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_Toc15199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_Toc23133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二、试题与评判标准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_Toc23133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7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_Toc1633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（一）试题（样题）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_Toc1633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7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_Toc25098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（二）比赛时间及试题具体内容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_Toc25098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10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_Toc32742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（三）评判标准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_Toc32742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10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_Toc25599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三、竞赛细则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_Toc25599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14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_Toc19996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（一）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裁判员工作内容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_Toc19996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14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_Toc7739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二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）选手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工作内容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_Toc7739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16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_Toc19819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（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五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争议和仲裁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_Toc19819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19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_Toc16482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四、竞赛场地、设施设备等安排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_Toc16482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20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_Toc2137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（一）赛场规格要求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_Toc2137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20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_Toc9866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（二）场地布局（此图仅供参考）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_Toc9866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20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_Toc8105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（三）基础设施设备清单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_Toc8105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21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_Toc22374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五、安全、健康要求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_Toc22374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23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_Toc11345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>（一）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参赛选手必须按照规定穿戴防护装备清单表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_Toc11345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23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_Toc18655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>（二）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赛场通道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_Toc18655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24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_Toc12855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>（三）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赛场医药配备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_Toc12855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24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7"/>
            <w:tabs>
              <w:tab w:val="right" w:leader="dot" w:pos="8504"/>
            </w:tabs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HYPERLINK \l _Toc18010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>（四）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eastAsia="zh-CN"/>
            </w:rPr>
            <w:t>环境保护</w:t>
          </w:r>
          <w:bookmarkStart w:id="46" w:name="_GoBack"/>
          <w:bookmarkEnd w:id="46"/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instrText xml:space="preserve"> PAGEREF _Toc18010 \h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25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fldChar w:fldCharType="end"/>
          </w:r>
        </w:p>
      </w:sdtContent>
    </w:sdt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  <w:bookmarkStart w:id="5" w:name="_Toc3841"/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hint="eastAsia" w:ascii="LinTimes" w:hAnsi="LinTimes" w:eastAsia="黑体" w:cs="LinTimes"/>
          <w:bCs/>
          <w:sz w:val="32"/>
          <w:szCs w:val="32"/>
        </w:rPr>
      </w:pPr>
    </w:p>
    <w:p>
      <w:pPr>
        <w:spacing w:line="560" w:lineRule="exact"/>
        <w:ind w:firstLine="656" w:firstLineChars="200"/>
        <w:outlineLvl w:val="0"/>
        <w:rPr>
          <w:rFonts w:ascii="LinTimes" w:hAnsi="LinTimes" w:eastAsia="黑体" w:cs="LinTimes"/>
          <w:bCs/>
          <w:sz w:val="32"/>
          <w:szCs w:val="32"/>
        </w:rPr>
      </w:pPr>
      <w:r>
        <w:rPr>
          <w:rFonts w:hint="eastAsia" w:ascii="LinTimes" w:hAnsi="LinTimes" w:eastAsia="黑体" w:cs="LinTimes"/>
          <w:bCs/>
          <w:sz w:val="32"/>
          <w:szCs w:val="32"/>
        </w:rPr>
        <w:t>一、技术描述</w:t>
      </w:r>
      <w:bookmarkEnd w:id="4"/>
      <w:bookmarkEnd w:id="5"/>
    </w:p>
    <w:p>
      <w:pPr>
        <w:spacing w:line="560" w:lineRule="exact"/>
        <w:ind w:firstLine="656" w:firstLineChars="200"/>
        <w:outlineLvl w:val="1"/>
        <w:rPr>
          <w:rFonts w:ascii="LinTimes" w:hAnsi="LinTimes" w:eastAsia="楷体" w:cs="LinTimes"/>
          <w:b/>
          <w:bCs/>
          <w:sz w:val="32"/>
          <w:szCs w:val="32"/>
        </w:rPr>
      </w:pPr>
      <w:bookmarkStart w:id="6" w:name="_Toc13319"/>
      <w:bookmarkStart w:id="7" w:name="_Toc4304"/>
      <w:r>
        <w:rPr>
          <w:rFonts w:hint="eastAsia" w:ascii="LinTimes" w:hAnsi="LinTimes" w:eastAsia="楷体" w:cs="LinTimes"/>
          <w:b/>
          <w:bCs/>
          <w:sz w:val="32"/>
          <w:szCs w:val="32"/>
        </w:rPr>
        <w:t>（一）项目概要</w:t>
      </w:r>
      <w:bookmarkEnd w:id="6"/>
      <w:bookmarkEnd w:id="7"/>
    </w:p>
    <w:p>
      <w:pPr>
        <w:spacing w:line="560" w:lineRule="exact"/>
        <w:ind w:firstLine="656" w:firstLineChars="200"/>
        <w:rPr>
          <w:rFonts w:hint="eastAsia" w:ascii="LinTimes" w:hAnsi="LinTimes" w:eastAsia="仿宋" w:cs="LinTimes"/>
          <w:sz w:val="32"/>
          <w:szCs w:val="32"/>
        </w:rPr>
      </w:pPr>
      <w:r>
        <w:rPr>
          <w:rFonts w:hint="eastAsia" w:ascii="LinTimes" w:hAnsi="LinTimes" w:eastAsia="仿宋" w:cs="LinTimes"/>
          <w:sz w:val="32"/>
          <w:szCs w:val="32"/>
          <w:lang w:val="en-US" w:eastAsia="zh-CN"/>
        </w:rPr>
        <w:t xml:space="preserve">家具制作项目是指综合运用家具设计、家具材料、家具结构、加工工艺、艺术审美和装饰技术等专业知识和家具机械加工与手工制作的技能，依据比赛现场提供的图纸、材料、设施（专用设备和自带手工工具）及评价标准，完成读图、 </w:t>
      </w:r>
    </w:p>
    <w:p>
      <w:pPr>
        <w:spacing w:line="560" w:lineRule="exact"/>
        <w:rPr>
          <w:rFonts w:hint="eastAsia" w:ascii="LinTimes" w:hAnsi="LinTimes" w:eastAsia="仿宋" w:cs="LinTimes"/>
          <w:sz w:val="32"/>
          <w:szCs w:val="32"/>
        </w:rPr>
      </w:pPr>
      <w:r>
        <w:rPr>
          <w:rFonts w:hint="eastAsia" w:ascii="LinTimes" w:hAnsi="LinTimes" w:eastAsia="仿宋" w:cs="LinTimes"/>
          <w:sz w:val="32"/>
          <w:szCs w:val="32"/>
          <w:lang w:val="en-US" w:eastAsia="zh-CN"/>
        </w:rPr>
        <w:t xml:space="preserve">识图、测量、画线、放大样图、开料、制作各种榫卯、企口等结构和表面装饰加工，通过胶合、装配、砂光和倒角等多种精细加工和后期处理工序，在规定时间内独立完成一件优质产品的竞赛项目。 </w:t>
      </w:r>
    </w:p>
    <w:p>
      <w:pPr>
        <w:spacing w:line="560" w:lineRule="exact"/>
        <w:ind w:firstLine="656" w:firstLineChars="200"/>
        <w:outlineLvl w:val="1"/>
        <w:rPr>
          <w:rFonts w:ascii="LinTimes" w:hAnsi="LinTimes" w:eastAsia="楷体" w:cs="LinTimes"/>
          <w:b/>
          <w:bCs/>
          <w:sz w:val="32"/>
          <w:szCs w:val="32"/>
        </w:rPr>
      </w:pPr>
      <w:bookmarkStart w:id="8" w:name="_Toc12610"/>
      <w:bookmarkStart w:id="9" w:name="_Toc11374"/>
      <w:r>
        <w:rPr>
          <w:rFonts w:hint="eastAsia" w:ascii="LinTimes" w:hAnsi="LinTimes" w:eastAsia="楷体" w:cs="LinTimes"/>
          <w:b/>
          <w:bCs/>
          <w:sz w:val="32"/>
          <w:szCs w:val="32"/>
        </w:rPr>
        <w:t>（二）基本知识与能力要求</w:t>
      </w:r>
      <w:bookmarkEnd w:id="8"/>
      <w:bookmarkEnd w:id="9"/>
    </w:p>
    <w:p>
      <w:pPr>
        <w:spacing w:line="560" w:lineRule="exact"/>
        <w:ind w:firstLine="656" w:firstLineChars="200"/>
        <w:rPr>
          <w:rFonts w:hint="eastAsia" w:ascii="LinTimes" w:hAnsi="LinTimes" w:eastAsia="仿宋" w:cs="LinTimes"/>
          <w:sz w:val="32"/>
          <w:szCs w:val="32"/>
          <w:lang w:val="en-US" w:eastAsia="zh-CN"/>
        </w:rPr>
      </w:pPr>
      <w:r>
        <w:rPr>
          <w:rFonts w:hint="eastAsia" w:ascii="LinTimes" w:hAnsi="LinTimes" w:eastAsia="仿宋" w:cs="LinTimes"/>
          <w:sz w:val="32"/>
          <w:szCs w:val="32"/>
          <w:lang w:val="en-US" w:eastAsia="zh-CN"/>
        </w:rPr>
        <w:t>家具制作技术人员能独立和正确识图，并能根据所给的材料合理使用材料， 完成放样、测量、制作、试组、安装和表面装饰等工作。</w:t>
      </w:r>
    </w:p>
    <w:p>
      <w:pPr>
        <w:spacing w:line="560" w:lineRule="exact"/>
        <w:ind w:firstLine="656" w:firstLineChars="200"/>
        <w:jc w:val="center"/>
        <w:outlineLvl w:val="0"/>
        <w:rPr>
          <w:rFonts w:hint="eastAsia" w:ascii="LinTimes" w:hAnsi="LinTimes" w:eastAsia="仿宋" w:cs="LinTimes"/>
          <w:sz w:val="32"/>
          <w:szCs w:val="32"/>
          <w:lang w:val="en-US" w:eastAsia="zh-CN"/>
        </w:rPr>
      </w:pPr>
      <w:bookmarkStart w:id="10" w:name="_Toc30824"/>
      <w:bookmarkStart w:id="11" w:name="_Toc15199"/>
      <w:r>
        <w:rPr>
          <w:rFonts w:hint="eastAsia" w:ascii="LinTimes" w:hAnsi="LinTimes" w:eastAsia="仿宋" w:cs="LinTimes"/>
          <w:sz w:val="32"/>
          <w:szCs w:val="32"/>
          <w:lang w:val="en-US" w:eastAsia="zh-CN"/>
        </w:rPr>
        <w:t>选手应具备各项能力的主要内容</w:t>
      </w:r>
      <w:bookmarkEnd w:id="10"/>
      <w:bookmarkEnd w:id="11"/>
    </w:p>
    <w:tbl>
      <w:tblPr>
        <w:tblStyle w:val="8"/>
        <w:tblpPr w:leftFromText="180" w:rightFromText="180" w:vertAnchor="text" w:horzAnchor="page" w:tblpX="2037" w:tblpY="617"/>
        <w:tblOverlap w:val="never"/>
        <w:tblW w:w="8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656"/>
        <w:gridCol w:w="1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632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部分</w:t>
            </w: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主要内容</w:t>
            </w: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权重（%）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3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</w:t>
            </w:r>
          </w:p>
        </w:tc>
        <w:tc>
          <w:tcPr>
            <w:tcW w:w="4656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工作组织和管理</w:t>
            </w:r>
          </w:p>
        </w:tc>
        <w:tc>
          <w:tcPr>
            <w:tcW w:w="1892" w:type="dxa"/>
            <w:vMerge w:val="restart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</w:trPr>
        <w:tc>
          <w:tcPr>
            <w:tcW w:w="1632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eastAsia="宋体" w:cs="LinTimes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eastAsia="zh-CN"/>
              </w:rPr>
              <w:t>基本知识</w:t>
            </w: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健康和安全法规，责任义务，章程和文件；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— 安全使用电气设备和工具的规则；  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对事故，急救和火灾的应急操作步骤和报告流程；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何时必须使用个人保护性设备（PPE）；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工具、机器设备和材料的使用，护理，维护和存放；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保持整洁干净工作区域的重要意义；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如何在工作实践中最小化浪费并管控成本；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可持续性措施：“绿色”材料的使用和回收利用；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工作计划，操作和时间管理的原则；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在任何工作实践中，预先计划，精确性，检查和注重细节的重要意义。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5" w:hRule="atLeast"/>
        </w:trPr>
        <w:tc>
          <w:tcPr>
            <w:tcW w:w="1632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eastAsia="宋体" w:cs="LinTimes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eastAsia="zh-CN"/>
              </w:rPr>
              <w:t>工作能力</w:t>
            </w: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依照健康和安全标准，规则和章程；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维持安全工作环境；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识别和使用合适的个人保护设备（PPE），包括安全鞋、耳塞、护目镜和防尘设备；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安全地挑选，使用，清理，维护和保存所有手动和电动工具设备；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安全地挑选，使用和储存所有材料；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有计划地使用工作区域以使效率最大化，并且严格执行工作区域的整洁干净准则；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高效计划和工作，定期检查进展情况和结果以避免不必要的花费或其它的处罚；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批判性地评估自己的工作。</w:t>
            </w:r>
          </w:p>
        </w:tc>
        <w:tc>
          <w:tcPr>
            <w:tcW w:w="189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4656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问题解决，革新和创造性</w:t>
            </w:r>
          </w:p>
        </w:tc>
        <w:tc>
          <w:tcPr>
            <w:tcW w:w="1892" w:type="dxa"/>
            <w:vMerge w:val="restart"/>
            <w:shd w:val="clear" w:color="auto" w:fill="FFFFFF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</w:trPr>
        <w:tc>
          <w:tcPr>
            <w:tcW w:w="1632" w:type="dxa"/>
            <w:vMerge w:val="restart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ascii="LinTimes" w:hAnsi="LinTimes" w:eastAsia="宋体" w:cs="LinTimes"/>
                <w:color w:val="auto"/>
                <w:kern w:val="0"/>
                <w:sz w:val="24"/>
                <w:szCs w:val="24"/>
                <w:lang w:val="en-GB" w:eastAsia="zh-CN" w:bidi="ar-SA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eastAsia="zh-CN"/>
              </w:rPr>
              <w:t>基本知识</w:t>
            </w:r>
          </w:p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风格，设计和美学因素的规则；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运用设计和技术对作品的品质进行提升的做法；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在工作过程中通常发生的问题类型；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解决问题的方法；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制作复杂产品的挑战。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2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eastAsia="zh-CN"/>
              </w:rPr>
              <w:t>工作能力</w:t>
            </w: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定期检查工作情况，以将工作后期阶段的问题最小化；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通过合适的程序，快速查找，弄清和解决问题；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当开展复杂的项目时，开发出创造性的解决办法来应对挑战；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有积极尝试新工艺新方法的意愿。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3</w:t>
            </w:r>
          </w:p>
        </w:tc>
        <w:tc>
          <w:tcPr>
            <w:tcW w:w="4656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运用图纸展开工作</w:t>
            </w:r>
          </w:p>
        </w:tc>
        <w:tc>
          <w:tcPr>
            <w:tcW w:w="1892" w:type="dxa"/>
            <w:vMerge w:val="restart"/>
            <w:shd w:val="clear" w:color="auto" w:fill="FFFFFF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63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工作图纸中的关键信息；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图纸制作需遵循的ISO标准；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几何学和三角法；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精确地理解工作图纸是制作高品质产品的基础；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察觉和更正错误和遗漏的重要性；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通过制作风格和技术来增加产品价值的方法。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63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创建出产品所需的或合适的材料；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创造出所需产品的尺寸、特性和风格；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比例缩放和真实尺寸绘制图纸；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制作类型清晰的图纸；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理解所给图纸，并发挥最大潜力来制作高质量的产品；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发现并更正缺失的或错误的信息；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确定制作产品所需材料的类型和数量。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4</w:t>
            </w:r>
          </w:p>
        </w:tc>
        <w:tc>
          <w:tcPr>
            <w:tcW w:w="4656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选择和准备材料</w:t>
            </w:r>
          </w:p>
        </w:tc>
        <w:tc>
          <w:tcPr>
            <w:tcW w:w="1892" w:type="dxa"/>
            <w:vMerge w:val="restart"/>
            <w:shd w:val="clear" w:color="auto" w:fill="FFFFFF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632" w:type="dxa"/>
            <w:vMerge w:val="restart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确保完成制作所需的所有物品就位；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知晓未正确放样可能带来的后果；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准确计算，确保高效、精确利用时间和材料；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阔叶材和针叶材的特点和用途；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板材的特点和用途；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使用推台锯切割板材制作接头；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用于贴面的木皮的特点和用途；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为铰链、锁、拉手，支柱，把手和搁板选择装置的方式方法。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 设想整个项目，确定并解决问题；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选择材料，以便避免缺陷并提高外观质量；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通过放样确定所有测量尺寸，截面，角，斜切和接头是正确的；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使用几何方法来确定复杂的角，接头和交叉；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适当地在木料上进行标记；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精确地将各点，测量尺寸和角度从图纸转化到木料上；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 可直接在材料上放样。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5</w:t>
            </w:r>
          </w:p>
        </w:tc>
        <w:tc>
          <w:tcPr>
            <w:tcW w:w="4656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拼接和组装</w:t>
            </w:r>
          </w:p>
        </w:tc>
        <w:tc>
          <w:tcPr>
            <w:tcW w:w="1892" w:type="dxa"/>
            <w:vMerge w:val="restart"/>
            <w:shd w:val="clear" w:color="auto" w:fill="FFFFFF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1632" w:type="dxa"/>
            <w:vMerge w:val="restart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实木和板材部分如接合制成各类部件；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如何在接合质量与可用时间之间找到平衡；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胶黏剂和其它固定材料的属性，用途和限制。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使用所准备的实木对拼接所需的类型和尺寸进行放样， 以便组装；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使用手动工具和/或手用电动工具来切割和准备多样的接头，包括榫、卯、指接、斜接、圆榫榫、搭接榫和燕尾榫；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使用木工设备来制作或部分制作接头；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使用木工机械制作槽、裁口和倒角；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在面板上使用木皮饰面的技术。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6</w:t>
            </w:r>
          </w:p>
        </w:tc>
        <w:tc>
          <w:tcPr>
            <w:tcW w:w="4656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准备表面与最后精细加工</w:t>
            </w:r>
          </w:p>
        </w:tc>
        <w:tc>
          <w:tcPr>
            <w:tcW w:w="1892" w:type="dxa"/>
            <w:vMerge w:val="restart"/>
            <w:shd w:val="clear" w:color="auto" w:fill="FFFFFF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632" w:type="dxa"/>
            <w:vMerge w:val="restart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各种部件的抛光准备；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准备方法和材料的用途和局限性；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 将抽屉装入柜体框架的方法；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使用抛光材料和化学剂的局限性。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0" w:hRule="atLeast"/>
        </w:trPr>
        <w:tc>
          <w:tcPr>
            <w:tcW w:w="1632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4656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定位和安装铰链；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抽屉和其他移动部件融入橱柜，实现滑动配合；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制作无缺陷的表面；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在工件表面无缺陷的情况下，如何完美第完成工件的安装；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为组件或部件倒棱；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抛光部件；</w:t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br w:type="textWrapping"/>
            </w: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— 检查工件的是否协调、比例是否合适、配合度和抛光程度。</w:t>
            </w:r>
          </w:p>
        </w:tc>
        <w:tc>
          <w:tcPr>
            <w:tcW w:w="1892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总分</w:t>
            </w:r>
          </w:p>
        </w:tc>
        <w:tc>
          <w:tcPr>
            <w:tcW w:w="4656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89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100</w:t>
            </w:r>
          </w:p>
        </w:tc>
      </w:tr>
    </w:tbl>
    <w:p>
      <w:pPr>
        <w:spacing w:line="560" w:lineRule="exact"/>
        <w:ind w:firstLine="656" w:firstLineChars="200"/>
        <w:outlineLvl w:val="0"/>
        <w:rPr>
          <w:rFonts w:ascii="LinTimes" w:hAnsi="LinTimes" w:eastAsia="黑体" w:cs="LinTimes"/>
          <w:bCs/>
          <w:sz w:val="32"/>
          <w:szCs w:val="32"/>
        </w:rPr>
      </w:pPr>
      <w:bookmarkStart w:id="12" w:name="_Toc15332"/>
      <w:bookmarkStart w:id="13" w:name="_Toc23133"/>
      <w:r>
        <w:rPr>
          <w:rFonts w:hint="eastAsia" w:ascii="LinTimes" w:hAnsi="LinTimes" w:eastAsia="黑体" w:cs="LinTimes"/>
          <w:bCs/>
          <w:sz w:val="32"/>
          <w:szCs w:val="32"/>
        </w:rPr>
        <w:t>二、试题与评判标准</w:t>
      </w:r>
      <w:bookmarkEnd w:id="12"/>
      <w:bookmarkEnd w:id="13"/>
    </w:p>
    <w:p>
      <w:pPr>
        <w:spacing w:line="560" w:lineRule="exact"/>
        <w:ind w:firstLine="656" w:firstLineChars="200"/>
        <w:outlineLvl w:val="1"/>
        <w:rPr>
          <w:rFonts w:ascii="LinTimes" w:hAnsi="LinTimes" w:eastAsia="楷体" w:cs="LinTimes"/>
          <w:b/>
          <w:bCs/>
          <w:sz w:val="32"/>
          <w:szCs w:val="32"/>
        </w:rPr>
      </w:pPr>
      <w:bookmarkStart w:id="14" w:name="_Toc26201"/>
      <w:bookmarkStart w:id="15" w:name="_Toc1633"/>
      <w:r>
        <w:rPr>
          <w:rFonts w:hint="eastAsia" w:ascii="LinTimes" w:hAnsi="LinTimes" w:eastAsia="楷体" w:cs="LinTimes"/>
          <w:b/>
          <w:bCs/>
          <w:sz w:val="32"/>
          <w:szCs w:val="32"/>
        </w:rPr>
        <w:t>（一）试题（样题）</w:t>
      </w:r>
      <w:bookmarkEnd w:id="14"/>
      <w:bookmarkEnd w:id="1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16" w:firstLineChars="200"/>
        <w:jc w:val="left"/>
        <w:textAlignment w:val="auto"/>
        <w:outlineLvl w:val="2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1.模块基本内容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按照大赛执委会的要求，样题要反映出赛题考核的模块。本文件例举的样题（见图 1、图 2）就包含了比赛要考核选手的主要模块，包括尺寸、图纸的一致性、胶合前榫接质量、胶合后榫接质量、配件和可移动部件、贴木皮、表面处理模块，以及考核中要涉及的“材料使用”与“健康与安全”两个模块，总共 9 个模块。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赛题样题会在比赛前10天公布 最终赛题在公布的赛题上再改变 30%左右作为最后的赛题。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108575" cy="3703320"/>
            <wp:effectExtent l="0" t="0" r="1206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52085" cy="3710940"/>
            <wp:effectExtent l="0" t="0" r="571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outlineLvl w:val="2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2.本项竞赛的命题方式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依据世界技能大赛及国赛木工项目技术文件要求，第本次木工项目选拔赛赛题采取赛前10天公布样题，比赛样题由本次比赛专家组长出题。同时为考核选手识图与绘图能力，裁判长根据选手报名情况以及选手技能水平，对赛题进行30%的变化。裁判长在赛C-1天组织所有裁判及选手，公布赛题变化情况，在此过程中不允许其他人员进入，严禁任何人拍照。如有违反者，则取消相应比赛队伍的参赛资格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(1)竞赛赛题设计要求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竞赛试题必须包括一个柜体、一个腿架、一个抽屉和一扇门。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竞赛时间控制在 14 小时之内。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图纸：2 张图纸。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(3)材料规格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具体材料规格应满足赛题要求并由比赛组织者提供，材种为樟子松。比赛C-1天选手对抽取工位内的材料进行检测，若发现有问题可举手示意裁判员，由裁判长判断是否进行换料。选手在料单上签字确认材料后，再行换料则按扣分项处理。</w:t>
      </w:r>
    </w:p>
    <w:p>
      <w:pPr>
        <w:spacing w:line="560" w:lineRule="exact"/>
        <w:ind w:firstLine="656" w:firstLineChars="200"/>
        <w:outlineLvl w:val="1"/>
        <w:rPr>
          <w:rFonts w:ascii="LinTimes" w:hAnsi="LinTimes" w:eastAsia="楷体" w:cs="LinTimes"/>
          <w:b/>
          <w:bCs/>
          <w:sz w:val="32"/>
          <w:szCs w:val="32"/>
        </w:rPr>
      </w:pPr>
      <w:bookmarkStart w:id="16" w:name="_Toc2345"/>
      <w:bookmarkStart w:id="17" w:name="_Toc25098"/>
      <w:r>
        <w:rPr>
          <w:rFonts w:hint="eastAsia" w:ascii="LinTimes" w:hAnsi="LinTimes" w:eastAsia="楷体" w:cs="LinTimes"/>
          <w:b/>
          <w:bCs/>
          <w:sz w:val="32"/>
          <w:szCs w:val="32"/>
        </w:rPr>
        <w:t>（二）比赛时间及试题具体内容</w:t>
      </w:r>
      <w:bookmarkEnd w:id="16"/>
      <w:bookmarkEnd w:id="1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outlineLvl w:val="2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1.比赛时间安排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本项目比赛总时间为12小时。评分时主要以整个作品进行评分，所以对选手每个模块加工时间分配没有具体要求。但选手必须按模块顺序进行完成放样、返线、精准加工，以便裁判员进行评分。</w:t>
      </w:r>
    </w:p>
    <w:p>
      <w:pPr>
        <w:spacing w:line="560" w:lineRule="exact"/>
        <w:ind w:firstLine="656" w:firstLineChars="200"/>
        <w:outlineLvl w:val="2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2.试题具体内容（赛前10天公布）</w:t>
      </w:r>
    </w:p>
    <w:p>
      <w:pPr>
        <w:spacing w:line="560" w:lineRule="exact"/>
        <w:ind w:firstLine="656" w:firstLineChars="200"/>
        <w:outlineLvl w:val="1"/>
        <w:rPr>
          <w:rFonts w:ascii="LinTimes" w:hAnsi="LinTimes" w:eastAsia="楷体" w:cs="LinTimes"/>
          <w:sz w:val="32"/>
          <w:szCs w:val="32"/>
        </w:rPr>
      </w:pPr>
      <w:bookmarkStart w:id="18" w:name="_Toc30562"/>
      <w:bookmarkStart w:id="19" w:name="_Toc32742"/>
      <w:r>
        <w:rPr>
          <w:rFonts w:hint="eastAsia" w:ascii="LinTimes" w:hAnsi="LinTimes" w:eastAsia="楷体" w:cs="LinTimes"/>
          <w:b/>
          <w:bCs/>
          <w:sz w:val="32"/>
          <w:szCs w:val="32"/>
        </w:rPr>
        <w:t>（三）评判标准</w:t>
      </w:r>
      <w:bookmarkEnd w:id="18"/>
      <w:bookmarkEnd w:id="19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1）认真阅读图纸；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2）制定制作工序；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3）按工序完成各部件制作；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4）根据图纸在规定的零部件上做标记；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5）制作榫接合并按要求送检；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6）分别组装部件并上胶后待检；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7）精细加工，倒角、裁口修整；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8） 面板贴木皮装饰；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9）机械砂光后整体组装；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10）安装五金配件；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11）精细加工，砂纸打磨倒棱；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12）全部制作工作完成后通报裁判，并接受裁判检查。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outlineLvl w:val="2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2.评判方法</w:t>
      </w:r>
    </w:p>
    <w:tbl>
      <w:tblPr>
        <w:tblStyle w:val="8"/>
        <w:tblpPr w:leftFromText="180" w:rightFromText="180" w:vertAnchor="text" w:horzAnchor="page" w:tblpX="2362" w:tblpY="143"/>
        <w:tblOverlap w:val="never"/>
        <w:tblW w:w="765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970"/>
        <w:gridCol w:w="3096"/>
        <w:gridCol w:w="1668"/>
        <w:gridCol w:w="12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序号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模块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模块内容</w:t>
            </w: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分值分配(建议)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权重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A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尺寸</w:t>
            </w:r>
          </w:p>
        </w:tc>
        <w:tc>
          <w:tcPr>
            <w:tcW w:w="16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100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B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与图纸的一致性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3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c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表面标记及胶合前的榫接质量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4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D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胶合后的榫接质量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5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E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配件和可移动的部件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8%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6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F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贴木皮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8%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7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G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表面处理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8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H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材料的使用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9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J</w:t>
            </w:r>
          </w:p>
        </w:tc>
        <w:tc>
          <w:tcPr>
            <w:tcW w:w="3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健康与安全</w:t>
            </w:r>
          </w:p>
        </w:tc>
        <w:tc>
          <w:tcPr>
            <w:tcW w:w="1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6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比赛总分数</w:t>
            </w:r>
          </w:p>
        </w:tc>
        <w:tc>
          <w:tcPr>
            <w:tcW w:w="59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100</w:t>
            </w:r>
          </w:p>
        </w:tc>
      </w:tr>
    </w:tbl>
    <w:p>
      <w:pPr>
        <w:pStyle w:val="12"/>
        <w:snapToGrid w:val="0"/>
        <w:spacing w:line="240" w:lineRule="atLeast"/>
        <w:jc w:val="both"/>
        <w:rPr>
          <w:rFonts w:hint="eastAsia" w:ascii="LinTimes" w:hAnsi="LinTimes" w:cs="LinTimes"/>
          <w:color w:val="auto"/>
          <w:sz w:val="24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评判方式分为两大类：测量（依据客观数据评判）和评价（依据主观描述评判），为保障公平，两种评测均运用明确的标准。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裁判长将依据各裁判员相关执裁经验，将裁判员分成不同的评分小组，每个小组负责在某个项目上评估所有的选手。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(1)评价分（主观分）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评价分打分方式：由4名裁判为一组，各自对每一评分项评分；三名裁判对每个方面进行评估，并记录他们的分数，第四个专家协调和监督评分，并检查其有效性。裁判对本参赛队选手打分采取回避制度，此时由第4位裁判参与评分。裁判相互间分差不能超过1分，否则需要给出确切理由，并在裁判长或裁判长助理的监督下进行重新评判，直至符合要求。如裁判员打分明显偏离评判标准，则可认定为恶性打分。恶意打分1次，由裁判长进行口头警告，如达到2次，裁判长可终止其执裁资格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0-3 分值范围：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Wingdings" w:hAnsi="Wingdings" w:eastAsia="宋体" w:cs="Wingdings"/>
          <w:color w:val="000000"/>
          <w:kern w:val="0"/>
          <w:sz w:val="32"/>
          <w:szCs w:val="32"/>
          <w:lang w:val="en-US" w:eastAsia="zh-CN" w:bidi="ar"/>
        </w:rPr>
        <w:t></w:t>
      </w:r>
      <w:r>
        <w:rPr>
          <w:rFonts w:hint="eastAsia" w:ascii="Wingdings" w:hAnsi="Wingdings" w:cs="Wingdings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0：低于行业标准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Wingdings" w:hAnsi="Wingdings" w:eastAsia="宋体" w:cs="Wingdings"/>
          <w:color w:val="000000"/>
          <w:kern w:val="0"/>
          <w:sz w:val="32"/>
          <w:szCs w:val="32"/>
          <w:lang w:val="en-US" w:eastAsia="zh-CN" w:bidi="ar"/>
        </w:rPr>
        <w:t></w:t>
      </w:r>
      <w:r>
        <w:rPr>
          <w:rFonts w:hint="eastAsia" w:ascii="Wingdings" w:hAnsi="Wingdings" w:cs="Wingdings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1：符合行业标准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Wingdings" w:hAnsi="Wingdings" w:eastAsia="宋体" w:cs="Wingdings"/>
          <w:color w:val="000000"/>
          <w:kern w:val="0"/>
          <w:sz w:val="32"/>
          <w:szCs w:val="32"/>
          <w:lang w:val="en-US" w:eastAsia="zh-CN" w:bidi="ar"/>
        </w:rPr>
        <w:t></w:t>
      </w:r>
      <w:r>
        <w:rPr>
          <w:rFonts w:hint="eastAsia" w:ascii="Wingdings" w:hAnsi="Wingdings" w:cs="Wingdings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2：符合行业标准，在某些特殊方面超过行业标准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56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Wingdings" w:hAnsi="Wingdings" w:eastAsia="宋体" w:cs="Wingdings"/>
          <w:color w:val="000000"/>
          <w:kern w:val="0"/>
          <w:sz w:val="32"/>
          <w:szCs w:val="32"/>
          <w:lang w:val="en-US" w:eastAsia="zh-CN" w:bidi="ar"/>
        </w:rPr>
        <w:t></w:t>
      </w:r>
      <w:r>
        <w:rPr>
          <w:rFonts w:hint="eastAsia" w:ascii="Wingdings" w:hAnsi="Wingdings" w:cs="Wingdings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3：完全超过行业标准，并且评价为优秀 </w:t>
      </w:r>
    </w:p>
    <w:tbl>
      <w:tblPr>
        <w:tblStyle w:val="8"/>
        <w:tblW w:w="8506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1934"/>
        <w:gridCol w:w="5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932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序号</w:t>
            </w:r>
          </w:p>
        </w:tc>
        <w:tc>
          <w:tcPr>
            <w:tcW w:w="1934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模块</w:t>
            </w:r>
          </w:p>
        </w:tc>
        <w:tc>
          <w:tcPr>
            <w:tcW w:w="5640" w:type="dxa"/>
            <w:shd w:val="clear" w:color="auto" w:fill="FFFFFF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评测方法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2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1</w:t>
            </w:r>
          </w:p>
        </w:tc>
        <w:tc>
          <w:tcPr>
            <w:tcW w:w="1934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A-尺寸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ind w:firstLine="496" w:firstLineChars="200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特定的尺寸要经过测量。所有的尺寸打分将根据测量尺寸的大小、位置和精度要求等因素，决定用卷尺、直尺或其他测量工具完成。每个尺寸的测量至少是 2-4 次，全对才得分。单一零件的尺寸精度为正负0.5mm，2 个及 2 个以上零件组合到一起的尺寸精度为±0.9mm。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932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1934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B-与图纸的一致性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在任何情况下，作品必须与图纸符合，包括在赛中和赛后，都要保证每个操作与零部件的造型、位置 与结构完全与图纸保持一致。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932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3</w:t>
            </w:r>
          </w:p>
        </w:tc>
        <w:tc>
          <w:tcPr>
            <w:tcW w:w="1934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C-表面标记及上胶前的榫接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表面标记按照赛前培训的要求做；部分主要部件在胶合之前评分，主要评价表面质量和榫卯的配合度。圆棒榫、饼干榫和其它外置榫，其配合只在胶合前目视检查其数量、位置和是否涂胶等，其配合的质量在赛后检查评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ind w:firstLine="496" w:firstLineChars="200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抽屉的榫头和榫槽只允许使用手工工具制作，不允许使用电动工具，不允许使用任何修榫的靠模辅助制作。一旦发现使用电动工具制作，该项将以零分处理。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</w:trPr>
        <w:tc>
          <w:tcPr>
            <w:tcW w:w="932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4</w:t>
            </w:r>
          </w:p>
        </w:tc>
        <w:tc>
          <w:tcPr>
            <w:tcW w:w="1934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D-上胶后的榫接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胶合后每一处的榫结合处应密实、平整、干净； 不应有缝隙，不能显露出粘合材料和其它加工余物（如胶、木屑、蜡等）。并且站在消费者使用的角度和看到的顺序进行重要和次要的排序，并且根据具体情况和出现的位置的重要性综合评价。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2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5</w:t>
            </w:r>
          </w:p>
        </w:tc>
        <w:tc>
          <w:tcPr>
            <w:tcW w:w="1934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E-配件可活动的部分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ind w:firstLine="496" w:firstLineChars="200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主要检查和评判应用于门与抽屉的五金配件的安装质量。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可移动部分的配合度、顺畅度与功能（可移动部分的安装与运转）。蜡或润滑剂只允许用于移动部件。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</w:trPr>
        <w:tc>
          <w:tcPr>
            <w:tcW w:w="932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6</w:t>
            </w:r>
          </w:p>
        </w:tc>
        <w:tc>
          <w:tcPr>
            <w:tcW w:w="1934" w:type="dxa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F-贴木皮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按照给定图案和木材的种类及颜色要求，通过做模板、划线、裁切、胶贴、固化、打磨等处理工艺， 完成木皮的装饰；要求表面光滑、平整、无缝隙、无毛刺，无胶渍等。木皮的图案、木纹方向、颜色和木皮种类都要与图纸保持一致。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932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7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G-表面处理</w:t>
            </w:r>
          </w:p>
        </w:tc>
        <w:tc>
          <w:tcPr>
            <w:tcW w:w="5640" w:type="dxa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所有表面（包括家具的外表面和内表面）都应保持光洁和清洁（所有表面砂光的质量）。例如实木、木皮贴面及边缘应砂光，不应有毛刺、砂痕、波浪，并且不能显露出胶合材料（胶、木屑、蜡等）。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所有面与面相交形成的棱，都需要倒棱，保证棱笔直、顺畅和不割手，同时又保证棱角分明。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default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ind w:firstLine="496" w:firstLineChars="200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表面砂光采用 180 和 240 目标号的砂纸，表面应无可见交叉砂痕。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32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8</w:t>
            </w:r>
          </w:p>
        </w:tc>
        <w:tc>
          <w:tcPr>
            <w:tcW w:w="1934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H-材料的使用</w:t>
            </w:r>
          </w:p>
        </w:tc>
        <w:tc>
          <w:tcPr>
            <w:tcW w:w="5640" w:type="dxa"/>
            <w:vMerge w:val="restart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ind w:firstLine="496" w:firstLineChars="200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（因加工失误）使用额外材料将导致扣分，每换一根料扣 1 分，换料至多不能超过 3 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vMerge w:val="continue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932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9</w:t>
            </w:r>
          </w:p>
        </w:tc>
        <w:tc>
          <w:tcPr>
            <w:tcW w:w="1934" w:type="dxa"/>
            <w:vMerge w:val="restart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J-健康与安全</w:t>
            </w:r>
          </w:p>
        </w:tc>
        <w:tc>
          <w:tcPr>
            <w:tcW w:w="5640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遵循健康、安全、和环境标准、规则与规章。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ind w:firstLine="496" w:firstLineChars="200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>保持一个安全的工作环境。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识别且使用合适的个人安全防护设备包括安全鞋、耳塞、护目镜与吸尘设备。根据安全要求，选择、运用、打扫、保持，且储存（整理好）所有手工、电动工具与设备。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1" w:hRule="atLeast"/>
        </w:trPr>
        <w:tc>
          <w:tcPr>
            <w:tcW w:w="932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1934" w:type="dxa"/>
            <w:vMerge w:val="continue"/>
            <w:shd w:val="clear" w:color="auto" w:fill="auto"/>
            <w:noWrap/>
            <w:vAlign w:val="center"/>
          </w:tcPr>
          <w:p>
            <w:pPr>
              <w:pStyle w:val="12"/>
              <w:snapToGrid w:val="0"/>
              <w:spacing w:line="240" w:lineRule="atLeast"/>
              <w:jc w:val="center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</w:p>
        </w:tc>
        <w:tc>
          <w:tcPr>
            <w:tcW w:w="5640" w:type="dxa"/>
            <w:shd w:val="clear" w:color="auto" w:fill="auto"/>
            <w:vAlign w:val="top"/>
          </w:tcPr>
          <w:p>
            <w:pPr>
              <w:pStyle w:val="12"/>
              <w:snapToGrid w:val="0"/>
              <w:spacing w:line="240" w:lineRule="atLeast"/>
              <w:jc w:val="left"/>
              <w:rPr>
                <w:rFonts w:hint="eastAsia" w:ascii="LinTimes" w:hAnsi="LinTimes" w:cs="LinTimes"/>
                <w:color w:val="auto"/>
                <w:sz w:val="24"/>
                <w:lang w:eastAsia="zh-CN"/>
              </w:rPr>
            </w:pPr>
            <w:r>
              <w:rPr>
                <w:rFonts w:hint="eastAsia" w:ascii="LinTimes" w:hAnsi="LinTimes" w:cs="LinTimes"/>
                <w:color w:val="auto"/>
                <w:sz w:val="24"/>
                <w:lang w:val="en-US" w:eastAsia="zh-CN"/>
              </w:rPr>
              <w:t xml:space="preserve">    本次选拔赛主观评价采取过程记录形式，主要针对选手在竞赛操作过程中的安全、行为规范、职业素养等方面表现由明确的裁判组对《选手违规行为记录表》（以下简称《记录表》）进行填写，最后由裁判对《记录表》进行统计。评价方式：现场裁判发现选手违规行为需要对选手进行提醒与劝阻，并对《登记表》进行记录，记录时需 2 名以上裁判员达成共识并签字确认，选手所属单位的裁判要进行回避，由其他单位裁判进行考评。</w:t>
            </w:r>
          </w:p>
        </w:tc>
      </w:tr>
    </w:tbl>
    <w:p>
      <w:pPr>
        <w:spacing w:line="560" w:lineRule="exact"/>
        <w:ind w:firstLine="656" w:firstLineChars="200"/>
        <w:outlineLvl w:val="0"/>
        <w:rPr>
          <w:rFonts w:ascii="LinTimes" w:hAnsi="LinTimes" w:eastAsia="黑体" w:cs="LinTimes"/>
          <w:bCs/>
          <w:sz w:val="32"/>
          <w:szCs w:val="32"/>
        </w:rPr>
      </w:pPr>
      <w:bookmarkStart w:id="20" w:name="_Toc12592"/>
      <w:bookmarkStart w:id="21" w:name="_Toc25599"/>
      <w:r>
        <w:rPr>
          <w:rFonts w:hint="eastAsia" w:ascii="LinTimes" w:hAnsi="LinTimes" w:eastAsia="黑体" w:cs="LinTimes"/>
          <w:bCs/>
          <w:sz w:val="32"/>
          <w:szCs w:val="32"/>
        </w:rPr>
        <w:t>三、竞赛细则</w:t>
      </w:r>
      <w:bookmarkEnd w:id="20"/>
      <w:bookmarkEnd w:id="21"/>
    </w:p>
    <w:p>
      <w:pPr>
        <w:pStyle w:val="2"/>
        <w:outlineLvl w:val="1"/>
        <w:rPr>
          <w:rFonts w:hint="eastAsia"/>
          <w:sz w:val="30"/>
          <w:szCs w:val="30"/>
        </w:rPr>
      </w:pPr>
      <w:bookmarkStart w:id="22" w:name="_Toc7431"/>
      <w:bookmarkStart w:id="23" w:name="_Toc19996"/>
      <w:r>
        <w:rPr>
          <w:rFonts w:hint="eastAsia" w:ascii="楷体" w:hAnsi="楷体" w:eastAsia="楷体" w:cs="楷体"/>
          <w:b/>
          <w:bCs/>
          <w:sz w:val="32"/>
          <w:szCs w:val="32"/>
        </w:rPr>
        <w:t>（一）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裁判员工作内容</w:t>
      </w:r>
      <w:bookmarkEnd w:id="22"/>
      <w:bookmarkEnd w:id="23"/>
      <w:r>
        <w:rPr>
          <w:rFonts w:hint="eastAsia"/>
          <w:sz w:val="30"/>
          <w:szCs w:val="30"/>
        </w:rPr>
        <w:t xml:space="preserve"> </w:t>
      </w:r>
    </w:p>
    <w:p>
      <w:pPr>
        <w:pStyle w:val="2"/>
        <w:outlineLvl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选聘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条件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坚持习近平新时代中国特色社会主义思想，具有坚定的理想信念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热爱祖国、拥护中国共产党领导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带头增强“四个意识”、坚定“四个自信”、做到“两个维护”；积极践行社会主义核心价值观，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做到</w:t>
      </w:r>
      <w:r>
        <w:rPr>
          <w:rFonts w:hint="eastAsia" w:ascii="仿宋" w:hAnsi="仿宋" w:eastAsia="仿宋" w:cs="仿宋"/>
          <w:sz w:val="32"/>
          <w:szCs w:val="32"/>
        </w:rPr>
        <w:t>遵纪守法、品德高尚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严守纪律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秉公执裁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不徇私情；具有良好的心理、身体素质，身体健康，原则上年龄不超过60岁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热爱本职工作，责任心强，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团队意识强，</w:t>
      </w:r>
      <w:r>
        <w:rPr>
          <w:rFonts w:hint="eastAsia" w:ascii="仿宋" w:hAnsi="仿宋" w:eastAsia="仿宋" w:cs="仿宋"/>
          <w:sz w:val="32"/>
          <w:szCs w:val="32"/>
        </w:rPr>
        <w:t>服从组织安排，自愿承担本次大赛执裁工作，时间上有保证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具备良好的本专业理论知识、实操技能和工作经验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了解掌握职业技能竞赛政策、工作规则和裁判方法，并能较为准确、熟练运用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参与过国家级或省级（行业）职业技能竞赛执裁或其他技术工作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优先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裁判长还应具有较高的组织协调沟通能力，在本专业领域内有较高威望和良好声誉，行业内认可度高，具有丰富的专业理论知识、实际工作经验和较高的专业技术技能水平，原则上应具有技师及以上职业资格（职业技能等级）或副高级及以上专业技术职称。参与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省级以上</w:t>
      </w:r>
      <w:r>
        <w:rPr>
          <w:rFonts w:hint="eastAsia" w:ascii="仿宋" w:hAnsi="仿宋" w:eastAsia="仿宋" w:cs="仿宋"/>
          <w:sz w:val="32"/>
          <w:szCs w:val="32"/>
        </w:rPr>
        <w:t>职业技能竞赛技术工作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"/>
        <w:outlineLvl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工作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职责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(1)</w:t>
      </w:r>
      <w:r>
        <w:rPr>
          <w:rFonts w:hint="eastAsia" w:ascii="仿宋" w:hAnsi="仿宋" w:eastAsia="仿宋" w:cs="仿宋"/>
          <w:sz w:val="32"/>
          <w:szCs w:val="32"/>
        </w:rPr>
        <w:t>裁判长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组委会领导下，秉承公平公正原则接受执委会具体管理；做好相应沟通协调，落实竞赛各项技术工作；按时、认真组织完成本项目技术工作文件的编制工作；带头坚持并维护竞赛公平公正，遵守保密纪律，不得有影响竞赛公平公正的言行；按照组委会要求和执委会安排，参加并做好本项目裁判员的赛前培训，主持做好本项目赛前技术交流；采取多种保证公平公正的措施，组织全体裁判员做好本项目评判和相关技术工作；根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本次</w:t>
      </w:r>
      <w:r>
        <w:rPr>
          <w:rFonts w:hint="eastAsia" w:ascii="仿宋" w:hAnsi="仿宋" w:eastAsia="仿宋" w:cs="仿宋"/>
          <w:sz w:val="32"/>
          <w:szCs w:val="32"/>
        </w:rPr>
        <w:t>技能大赛工作要求和执委会安排，组织本项目开展技术总结和技术点评。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(2)</w:t>
      </w:r>
      <w:r>
        <w:rPr>
          <w:rFonts w:hint="eastAsia" w:ascii="仿宋" w:hAnsi="仿宋" w:eastAsia="仿宋" w:cs="仿宋"/>
          <w:sz w:val="32"/>
          <w:szCs w:val="32"/>
        </w:rPr>
        <w:t>裁判员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加赛前培训和技术论坛讨论，熟练掌握竞赛技术规则；对有争议的问题提出客观、公正、合理的意见和建议；服从裁判长工作安排，认真做好本职工作；公平公正执裁，不徇私舞弊；坚守岗位，不迟到、不早退，严格遵守执裁时间安排，保证执裁工作正常进行。</w:t>
      </w:r>
    </w:p>
    <w:p>
      <w:pPr>
        <w:pStyle w:val="2"/>
        <w:outlineLvl w:val="2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.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组织管理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(1)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本次技能大赛</w:t>
      </w:r>
      <w:r>
        <w:rPr>
          <w:rFonts w:hint="eastAsia" w:ascii="仿宋" w:hAnsi="仿宋" w:eastAsia="仿宋" w:cs="仿宋"/>
          <w:sz w:val="32"/>
          <w:szCs w:val="32"/>
        </w:rPr>
        <w:t>前期准备期间，按组委会要求，具体组织裁判人员开展形式灵活的赛前培训。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(2)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本次技能大赛中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裁判长根据实际情况，</w:t>
      </w:r>
      <w:r>
        <w:rPr>
          <w:rFonts w:hint="eastAsia" w:ascii="仿宋" w:hAnsi="仿宋" w:eastAsia="仿宋" w:cs="仿宋"/>
          <w:sz w:val="32"/>
          <w:szCs w:val="32"/>
        </w:rPr>
        <w:t>具体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安排全体</w:t>
      </w:r>
      <w:r>
        <w:rPr>
          <w:rFonts w:hint="eastAsia" w:ascii="仿宋" w:hAnsi="仿宋" w:eastAsia="仿宋" w:cs="仿宋"/>
          <w:sz w:val="32"/>
          <w:szCs w:val="32"/>
        </w:rPr>
        <w:t>裁判人员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分组开展赛务、测量、评价、监督等具体工作。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(3)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在本次</w:t>
      </w:r>
      <w:r>
        <w:rPr>
          <w:rFonts w:hint="eastAsia" w:ascii="仿宋" w:hAnsi="仿宋" w:eastAsia="仿宋" w:cs="仿宋"/>
          <w:sz w:val="32"/>
          <w:szCs w:val="32"/>
        </w:rPr>
        <w:t>技能大赛结束后，在组委会指导下，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裁判长</w:t>
      </w:r>
      <w:r>
        <w:rPr>
          <w:rFonts w:hint="eastAsia" w:ascii="仿宋" w:hAnsi="仿宋" w:eastAsia="仿宋" w:cs="仿宋"/>
          <w:sz w:val="32"/>
          <w:szCs w:val="32"/>
        </w:rPr>
        <w:t>组织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全体</w:t>
      </w:r>
      <w:r>
        <w:rPr>
          <w:rFonts w:hint="eastAsia" w:ascii="仿宋" w:hAnsi="仿宋" w:eastAsia="仿宋" w:cs="仿宋"/>
          <w:sz w:val="32"/>
          <w:szCs w:val="32"/>
        </w:rPr>
        <w:t>裁判员与赛务工作的相关工作人员等裁判长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、裁判员</w:t>
      </w:r>
      <w:r>
        <w:rPr>
          <w:rFonts w:hint="eastAsia" w:ascii="仿宋" w:hAnsi="仿宋" w:eastAsia="仿宋" w:cs="仿宋"/>
          <w:sz w:val="32"/>
          <w:szCs w:val="32"/>
        </w:rPr>
        <w:t>工作进行评估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(4)</w:t>
      </w:r>
      <w:r>
        <w:rPr>
          <w:rFonts w:hint="eastAsia" w:ascii="仿宋" w:hAnsi="仿宋" w:eastAsia="仿宋" w:cs="仿宋"/>
          <w:sz w:val="32"/>
          <w:szCs w:val="32"/>
        </w:rPr>
        <w:t>裁判、选手、赛区工作人员、参赛队领队等人员要严格遵守竞赛行为规范。出现下列情形，将依据相关规定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进行处理（根据其严重程度，处理包括口头警告、扣减或取消相应参赛选手比赛成绩、取消执裁资格、逐出竞赛场地等）。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比赛期间与本队参赛选手进行交流；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恶意干扰其他选手比赛；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恶意打分或串通其他裁判打分；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恶意干扰比赛或评分进程。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24" w:name="_Toc22957"/>
      <w:bookmarkStart w:id="25" w:name="_Toc7739"/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二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）选手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工作内容</w:t>
      </w:r>
      <w:bookmarkEnd w:id="24"/>
      <w:bookmarkEnd w:id="25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outlineLvl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1.参赛选手要求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选手年龄：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2002</w:t>
      </w:r>
      <w:r>
        <w:rPr>
          <w:rFonts w:hint="eastAsia" w:ascii="仿宋" w:hAnsi="仿宋" w:eastAsia="仿宋" w:cs="仿宋"/>
          <w:sz w:val="32"/>
          <w:szCs w:val="32"/>
        </w:rPr>
        <w:t>年1月1日以后出生的相关人员。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技能水平：具备扎实的专业知识和操作技能。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素质</w:t>
      </w:r>
      <w:r>
        <w:rPr>
          <w:rFonts w:hint="eastAsia" w:ascii="仿宋" w:hAnsi="仿宋" w:eastAsia="仿宋" w:cs="仿宋"/>
          <w:sz w:val="32"/>
          <w:szCs w:val="32"/>
        </w:rPr>
        <w:t>要求：思想品德优秀，身心健康，且有较强学习领悟能力，良好的身体素质、心理素质及应变能力。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其它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要求</w:t>
      </w:r>
      <w:r>
        <w:rPr>
          <w:rFonts w:hint="eastAsia" w:ascii="仿宋" w:hAnsi="仿宋" w:eastAsia="仿宋" w:cs="仿宋"/>
          <w:sz w:val="32"/>
          <w:szCs w:val="32"/>
        </w:rPr>
        <w:t>：参赛选手必须购买人身意外伤害保险并在有效期内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outlineLvl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2.选手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竞赛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规则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选手通过抽签决定竞赛工位。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选手必须持参赛证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、身份证</w:t>
      </w:r>
      <w:r>
        <w:rPr>
          <w:rFonts w:hint="eastAsia" w:ascii="仿宋" w:hAnsi="仿宋" w:eastAsia="仿宋" w:cs="仿宋"/>
          <w:sz w:val="32"/>
          <w:szCs w:val="32"/>
        </w:rPr>
        <w:t>参加比赛。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选手必须能熟练使用场地提供或自带的工具设备，不能熟练使用的设备、工具，在比赛中不能使用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比赛前每名选手有不少于30分钟熟悉比赛设备的时间。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选手在比赛过程中不得擅自处理比赛设备、修改设备故障。如遇到相应问题，不论原因如何，应立即向裁判长报告并按照规定进行处理。选手在比赛过程中，由于非本人违规操作等原因造成机器运转不正常中断比赛的，中断时间不记入选手正式比赛时间。机器设备恢复正常后，可根据故障或问题处理的具体时间，补足比赛时间。因个人原因导致机器故障机时造成的比赛时间延误，计入选手比赛时间并不予于补偿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选手在比赛期间不得使用手机、照相、录像等设备，不得携带U盘等存储设备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选手</w:t>
      </w:r>
      <w:r>
        <w:rPr>
          <w:rFonts w:hint="eastAsia" w:ascii="仿宋" w:hAnsi="仿宋" w:eastAsia="仿宋" w:cs="仿宋"/>
          <w:sz w:val="32"/>
          <w:szCs w:val="32"/>
        </w:rPr>
        <w:t>未经允许不得向他人借用工具，不得出现作弊或影响赛场秩序的行为，一经发现，依情节轻重酌情扣减分数直至取消比赛资格。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选手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禁止将赛题图纸带出工位，禁止携带其他图纸、纸张等有可能记录图形、数据的材料进入工位。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比赛期间，选手及其代表队的其他人员如有违反比赛规则的行为，并且对选手比赛成绩产生影响，依情节轻重酌情对该队选手予以扣分直至取消比赛资格。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第一天比赛开始前，选手领到赛题图纸后，有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15分钟时间与本队裁判、教练进行交流，其余比赛时间内，禁止选手与本队裁判、教练有任何交流。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选手在完成模块一，提交送检后，方可获得模块二图纸。暗榫送检后，就不允许在进行切削加工。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选手如需重新切割或换料，必须先向当值裁判示意，在其记录并允许后方可进行，否则将按作弊处理。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竞赛开始与结束以裁判长口令为界。每一阶段比赛结束前，选手应将当前产品放在合理工作区域，并按时离场。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技术文件中提到的设备，在遵守木工设备操作安全规范的前提下，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采取</w:t>
      </w:r>
      <w:r>
        <w:rPr>
          <w:rFonts w:hint="eastAsia" w:ascii="仿宋" w:hAnsi="仿宋" w:eastAsia="仿宋" w:cs="仿宋"/>
          <w:sz w:val="32"/>
          <w:szCs w:val="32"/>
        </w:rPr>
        <w:t>任何加工都可以。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赛场配备的砂纸、打磨机为打磨放样板所用，不允许使用砂纸、打磨机打磨工件。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不允许结合处先预组装，然后使用铣机进行修边处理，此操作视为违规，一旦发现取消参赛资格。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职业素养及安全防护装配的佩带要求不可以打磨木料边缘，预组装禁止使用外力进行组装或者寻求他人帮助。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不允许使用胶水进行处理崩角，若是木材本身劈裂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，则应</w:t>
      </w:r>
      <w:r>
        <w:rPr>
          <w:rFonts w:hint="eastAsia" w:ascii="仿宋" w:hAnsi="仿宋" w:eastAsia="仿宋" w:cs="仿宋"/>
          <w:sz w:val="32"/>
          <w:szCs w:val="32"/>
        </w:rPr>
        <w:t>举手示意裁判，裁判会处理崩角问题。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三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比赛具体流程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6"/>
        <w:gridCol w:w="5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时间</w:t>
            </w:r>
          </w:p>
        </w:tc>
        <w:tc>
          <w:tcPr>
            <w:tcW w:w="580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主要事项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C-2天</w:t>
            </w:r>
          </w:p>
        </w:tc>
        <w:tc>
          <w:tcPr>
            <w:tcW w:w="580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各参赛队报到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C-1天</w:t>
            </w:r>
          </w:p>
        </w:tc>
        <w:tc>
          <w:tcPr>
            <w:tcW w:w="580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裁判员赛前培训会、公布赛题变化、选手熟悉设备及安全培训、抽取工位及检查材料、选手工具箱检查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C1天</w:t>
            </w:r>
          </w:p>
        </w:tc>
        <w:tc>
          <w:tcPr>
            <w:tcW w:w="580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比赛（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8h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C2天</w:t>
            </w:r>
          </w:p>
        </w:tc>
        <w:tc>
          <w:tcPr>
            <w:tcW w:w="580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比赛（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6h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）、裁判评分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C+1天</w:t>
            </w:r>
          </w:p>
        </w:tc>
        <w:tc>
          <w:tcPr>
            <w:tcW w:w="5806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评分汇总、公布成绩、技术点评、打包工具及撤场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四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工具箱检查规定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工具箱由各参赛队自行设计准备，体积不超过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1.5m</w:t>
      </w:r>
      <w:r>
        <w:rPr>
          <w:rFonts w:hint="eastAsia" w:ascii="仿宋" w:hAnsi="仿宋" w:eastAsia="仿宋" w:cs="仿宋"/>
          <w:sz w:val="32"/>
          <w:szCs w:val="32"/>
          <w:vertAlign w:val="superscript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所有选手应提供自带工具清单，未列入清单内的工具，在比赛中将禁止使用；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C-1天选手抽取工位后，进入相应工位进行整理，裁判员对照选手工具清单检查选手自带工具，不符合竞赛要求或有安全隐患的工具将被移除场地，在比赛中禁止使用；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对有争议的自带设备或工具，由裁判长组织全体裁判共同讨论，决定其是否允许使用。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26" w:name="_Toc32623"/>
      <w:bookmarkStart w:id="27" w:name="_Toc19819"/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五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争议和仲裁</w:t>
      </w:r>
      <w:bookmarkEnd w:id="26"/>
      <w:bookmarkEnd w:id="27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如各参赛队对本次次赛有异议，由领队向赛事仲裁组书面提出。赛事仲裁组判定属于技术争议的，转交赛事专家组商议解决，如属于其他方面争议，则由仲裁组协调解决或上报大赛组委会处理；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在比赛结果公布后一小时后，不再接受各参赛队提出的仲裁申请；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提出赛事争议的同时，不得妨碍比赛的正常进行，不得影响选手、裁判的正常工作，否则将扣除相关参赛队的成绩分数直至取消比赛资格；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对无正当理由的争议或借提出争议恶意干扰比赛的行为，仲裁组将进行记录并上报大赛组委会。</w:t>
      </w:r>
    </w:p>
    <w:p>
      <w:pPr>
        <w:spacing w:line="560" w:lineRule="exact"/>
        <w:ind w:firstLine="656" w:firstLineChars="200"/>
        <w:outlineLvl w:val="0"/>
        <w:rPr>
          <w:rFonts w:ascii="LinTimes" w:hAnsi="LinTimes" w:eastAsia="黑体" w:cs="LinTimes"/>
          <w:bCs/>
          <w:sz w:val="32"/>
          <w:szCs w:val="32"/>
        </w:rPr>
      </w:pPr>
      <w:bookmarkStart w:id="28" w:name="_Toc9851"/>
      <w:bookmarkStart w:id="29" w:name="_Toc16482"/>
      <w:r>
        <w:rPr>
          <w:rFonts w:hint="eastAsia" w:ascii="LinTimes" w:hAnsi="LinTimes" w:eastAsia="黑体" w:cs="LinTimes"/>
          <w:bCs/>
          <w:sz w:val="32"/>
          <w:szCs w:val="32"/>
        </w:rPr>
        <w:t>四、竞赛场地、设施设备等安排</w:t>
      </w:r>
      <w:bookmarkEnd w:id="28"/>
      <w:bookmarkEnd w:id="29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30" w:name="_Toc9742"/>
      <w:bookmarkStart w:id="31" w:name="_Toc2137"/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（一）赛场规格要求</w:t>
      </w:r>
      <w:bookmarkEnd w:id="30"/>
      <w:bookmarkEnd w:id="31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竞赛场地每个工位面积不小于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m×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m；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竞赛场地工位数应按参赛人数加1个备用工位准备。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32" w:name="_Toc20518"/>
      <w:bookmarkStart w:id="33" w:name="_Toc9866"/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（二）场地布局</w:t>
      </w:r>
      <w:bookmarkEnd w:id="32"/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（此图仅供参考）</w:t>
      </w:r>
      <w:bookmarkEnd w:id="33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147320</wp:posOffset>
            </wp:positionV>
            <wp:extent cx="3801745" cy="2837815"/>
            <wp:effectExtent l="0" t="0" r="0" b="635"/>
            <wp:wrapTight wrapText="bothSides">
              <wp:wrapPolygon>
                <wp:start x="0" y="0"/>
                <wp:lineTo x="0" y="21460"/>
                <wp:lineTo x="21539" y="21460"/>
                <wp:lineTo x="21539" y="0"/>
                <wp:lineTo x="0" y="0"/>
              </wp:wrapPolygon>
            </wp:wrapTight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b w:val="0"/>
          <w:bCs w:val="0"/>
          <w:sz w:val="30"/>
          <w:szCs w:val="3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34" w:name="_Toc667"/>
      <w:bookmarkStart w:id="35" w:name="_Toc8105"/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（三）基础设施设备清单</w:t>
      </w:r>
      <w:bookmarkEnd w:id="34"/>
      <w:bookmarkEnd w:id="35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1.场地基本设备工具清单表</w:t>
      </w:r>
    </w:p>
    <w:tbl>
      <w:tblPr>
        <w:tblStyle w:val="8"/>
        <w:tblpPr w:leftFromText="180" w:rightFromText="180" w:vertAnchor="text" w:horzAnchor="page" w:tblpX="1762" w:tblpY="463"/>
        <w:tblW w:w="86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74"/>
        <w:gridCol w:w="2036"/>
        <w:gridCol w:w="1035"/>
        <w:gridCol w:w="2225"/>
        <w:gridCol w:w="24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696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公共区域设备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规格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木工台锯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CS 70 EB SET CN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2人/台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充电式手电钻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GSB180-LI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螺钉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M5 螺钉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长度40/60/80/100mm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若干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696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工位区域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规格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数量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525" cy="9525"/>
                  <wp:effectExtent l="0" t="0" r="0" b="0"/>
                  <wp:docPr id="2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切割机（带支架）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KS 120 EB 230V-SET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木制多功能工作台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移动吸尘器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 xml:space="preserve">CTL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6 E CN 220V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圆型偏心振动打磨机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ETS 150/5 E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夹具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若干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桌子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人字梯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441" w:type="dxa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安全防护用品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口罩护、目镜、耳塞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垃圾桶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11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清扫工具</w:t>
            </w:r>
          </w:p>
        </w:tc>
        <w:tc>
          <w:tcPr>
            <w:tcW w:w="326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1人/套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696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裁判工具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3071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222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数量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071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3米卷尺</w:t>
            </w:r>
          </w:p>
        </w:tc>
        <w:tc>
          <w:tcPr>
            <w:tcW w:w="222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071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游标卡尺</w:t>
            </w:r>
          </w:p>
        </w:tc>
        <w:tc>
          <w:tcPr>
            <w:tcW w:w="222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496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071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塞尺</w:t>
            </w:r>
          </w:p>
        </w:tc>
        <w:tc>
          <w:tcPr>
            <w:tcW w:w="222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3把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0.5、1、1.5、2、2.5、3.5、5mm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071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评分牌</w:t>
            </w:r>
          </w:p>
        </w:tc>
        <w:tc>
          <w:tcPr>
            <w:tcW w:w="222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0、1、2、3分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.基本材料清单表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榉木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（根据赛题确定数量）；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密度板（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1220×2440×12mm浅色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）每名选手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2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.赛场选手自备的工具清单表</w:t>
      </w:r>
    </w:p>
    <w:tbl>
      <w:tblPr>
        <w:tblStyle w:val="8"/>
        <w:tblpPr w:leftFromText="180" w:rightFromText="180" w:vertAnchor="text" w:horzAnchor="page" w:tblpX="1762" w:tblpY="463"/>
        <w:tblW w:w="86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3071"/>
        <w:gridCol w:w="1565"/>
        <w:gridCol w:w="31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数量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轨道切割锯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1台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铣机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必须带除尘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铣机夹头、刀头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手电钻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钻头皮头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曲线锯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1台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电刨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1台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必须带除尘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手工工具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各种量具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卷尺、钢板尺、卡尺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打磨机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1台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只能打磨放样板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砂纸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只能打磨放样板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亚克力、中纤板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绘图工具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笔、尺、圆规、橡皮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夹具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照明设备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5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307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螺钉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不限</w:t>
            </w:r>
          </w:p>
        </w:tc>
        <w:tc>
          <w:tcPr>
            <w:tcW w:w="310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备注：以上工具选手可根据自身情况选择性携带；选手自带的所有设备和工具应列出清单，在赛前检查工具时提交；未列入选手自备的设备和工具表中的材料、工具需报备裁判长同意后方可带入赛场使用。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656" w:firstLineChars="200"/>
        <w:jc w:val="both"/>
        <w:textAlignment w:val="auto"/>
        <w:outlineLvl w:val="2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.赛场禁止携带的设备和材料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 xml:space="preserve"> 任何预制的模具或预制的斜角尺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LinTimes" w:hAnsi="LinTimes" w:eastAsia="黑体" w:cs="LinTimes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 xml:space="preserve"> 易燃易爆、有毒有害、有异味的工具或材料</w:t>
      </w:r>
    </w:p>
    <w:p>
      <w:pPr>
        <w:pStyle w:val="7"/>
        <w:ind w:firstLine="616" w:firstLineChars="200"/>
        <w:outlineLvl w:val="0"/>
        <w:rPr>
          <w:rFonts w:ascii="LinTimes" w:hAnsi="LinTimes" w:eastAsia="黑体" w:cs="LinTimes"/>
          <w:b w:val="0"/>
          <w:bCs/>
          <w:color w:val="auto"/>
          <w:sz w:val="32"/>
          <w:szCs w:val="32"/>
          <w:lang w:eastAsia="zh-CN"/>
        </w:rPr>
      </w:pPr>
      <w:bookmarkStart w:id="36" w:name="_Toc6005"/>
      <w:bookmarkStart w:id="37" w:name="_Toc22374"/>
      <w:r>
        <w:rPr>
          <w:rFonts w:hint="eastAsia" w:ascii="LinTimes" w:hAnsi="LinTimes" w:eastAsia="黑体" w:cs="LinTimes"/>
          <w:b w:val="0"/>
          <w:bCs/>
          <w:color w:val="auto"/>
          <w:sz w:val="32"/>
          <w:szCs w:val="32"/>
          <w:lang w:eastAsia="zh-CN"/>
        </w:rPr>
        <w:t>五、安全、健康要求</w:t>
      </w:r>
      <w:bookmarkEnd w:id="36"/>
      <w:bookmarkEnd w:id="37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outlineLvl w:val="1"/>
        <w:rPr>
          <w:rFonts w:hint="eastAsia"/>
          <w:b/>
          <w:bCs/>
          <w:sz w:val="30"/>
          <w:szCs w:val="30"/>
          <w:lang w:eastAsia="zh-CN"/>
        </w:rPr>
      </w:pPr>
      <w:bookmarkStart w:id="38" w:name="_Toc22762"/>
      <w:bookmarkStart w:id="39" w:name="_Toc11345"/>
      <w:r>
        <w:rPr>
          <w:rFonts w:hint="eastAsia"/>
          <w:b/>
          <w:bCs/>
          <w:sz w:val="30"/>
          <w:szCs w:val="30"/>
          <w:lang w:val="en-US" w:eastAsia="zh-CN"/>
        </w:rPr>
        <w:t>（一）</w:t>
      </w:r>
      <w:r>
        <w:rPr>
          <w:rFonts w:hint="eastAsia"/>
          <w:b/>
          <w:bCs/>
          <w:sz w:val="30"/>
          <w:szCs w:val="30"/>
          <w:lang w:eastAsia="zh-CN"/>
        </w:rPr>
        <w:t>参赛选手必须按照规定穿戴防护装备清单表</w:t>
      </w:r>
      <w:bookmarkEnd w:id="38"/>
      <w:bookmarkEnd w:id="39"/>
    </w:p>
    <w:tbl>
      <w:tblPr>
        <w:tblStyle w:val="9"/>
        <w:tblW w:w="88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1466"/>
        <w:gridCol w:w="1466"/>
        <w:gridCol w:w="1466"/>
        <w:gridCol w:w="1466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任务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护目镜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防尘口罩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安全鞋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工装服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耳塞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安全区域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画图放样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标记木料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手工切削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电具切削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7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安装组件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备注：选手比赛期间不允许穿宽松的衣服；不允许佩戴珠宝；衣服上不允许有露出的拉绳；不允许传凉鞋、拖鞋等；如有长发要盘起。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bookmarkStart w:id="40" w:name="_Toc18032"/>
      <w:bookmarkStart w:id="41" w:name="_Toc18655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赛场通道</w:t>
      </w:r>
      <w:bookmarkEnd w:id="40"/>
      <w:bookmarkEnd w:id="41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● </w:t>
      </w:r>
      <w:r>
        <w:rPr>
          <w:rFonts w:hint="eastAsia"/>
          <w:b w:val="0"/>
          <w:bCs w:val="0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在符合当地疫情防控要求的条件下，设置赛场观摩通道。观摩人员须经组委会同意或在组委会相关人员的陪同下，方可进入赛场；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允许入场观摩的人员，只可在安全区内观摩竞赛，并遵守赛场规则。观摩人员不得吸烟，不得与选手交谈，不得有妨碍、干扰选手竞赛的行为；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赞助厂商可在承办单位指定场地进行产品展示活动，但应接受组委会领导，遵守赛场纪律，服从裁判组的现场指挥，不得干扰竞赛正常进行；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媒体记者必须经组委会同意并佩戴相应的标志方可进入赛场，进入赛场后，应遵守赛场规则，不得与选手交谈，不得妨碍、干扰选手竞赛；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按规定预留赛场安全疏散通道，配备消防器械等应急处理设施设备和人员，张贴各项目安全健康规定、图示等，事先制定应急处理预案，安排专人负责赛场紧急疏导等工作。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bookmarkStart w:id="42" w:name="_Toc4702"/>
      <w:bookmarkStart w:id="43" w:name="_Toc12855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赛场医药配备</w:t>
      </w:r>
      <w:bookmarkEnd w:id="42"/>
      <w:bookmarkEnd w:id="43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● </w:t>
      </w:r>
      <w:r>
        <w:rPr>
          <w:rFonts w:hint="eastAsia"/>
          <w:b w:val="0"/>
          <w:bCs w:val="0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提出安全、健康要求，并于赛前由裁判长组织全体裁判员及参赛选手学习掌握。赛前1天，组织全体参赛选手进行安全培训、签署安全协议；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在竞赛现场设置急救站，配备专业医务人员、药品及设备，在比赛中全程值守，做好医疗应急准备；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安排专人进行健康监测工作，进入竞赛区域的人员，应严格按照安全、健康规定，做好安全防护并接受体温检测。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44" w:name="_Toc12928"/>
      <w:bookmarkStart w:id="45" w:name="_Toc1801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环境保护</w:t>
      </w:r>
      <w:bookmarkEnd w:id="44"/>
      <w:bookmarkEnd w:id="45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1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● </w:t>
      </w:r>
      <w:r>
        <w:rPr>
          <w:rFonts w:hint="eastAsia"/>
          <w:b w:val="0"/>
          <w:bCs w:val="0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科学规划，合理开展材料准备工作，在开料中尽量节约，减少木材浪费；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所有使用的电动设备都应带有集尘，最大程度减少木屑、粉尘的产生；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在整个竞赛组织过程中尽量减少不可降解制品的使用，减少环境污染；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为再循环产品如纸张、金属、塑料提供回收箱，为非循环产品提供特殊回收箱；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工具箱尺寸限定为最大内部容积 1.5m³（不包括外包装及运输轮），且工具箱可进行外观设计，集成部分使用功能，实现长期利用；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6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●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完成的竞赛赛题作品将在比赛后回收重新使用。</w:t>
      </w:r>
    </w:p>
    <w:p>
      <w:pPr>
        <w:spacing w:line="560" w:lineRule="exact"/>
        <w:ind w:firstLine="552" w:firstLineChars="150"/>
        <w:jc w:val="center"/>
        <w:rPr>
          <w:rFonts w:hint="eastAsia" w:ascii="LinTimes" w:hAnsi="LinTimes" w:eastAsia="华文中宋" w:cs="LinTimes"/>
          <w:b/>
          <w:sz w:val="36"/>
          <w:szCs w:val="36"/>
        </w:rPr>
      </w:pPr>
    </w:p>
    <w:p>
      <w:pPr>
        <w:spacing w:line="560" w:lineRule="exact"/>
        <w:jc w:val="both"/>
        <w:rPr>
          <w:rFonts w:hint="default" w:ascii="LinTimes" w:hAnsi="LinTimes" w:eastAsia="华文中宋" w:cs="LinTimes"/>
          <w:b/>
          <w:sz w:val="36"/>
          <w:szCs w:val="36"/>
          <w:lang w:val="en-US" w:eastAsia="zh-CN"/>
        </w:rPr>
      </w:pPr>
    </w:p>
    <w:sectPr>
      <w:footerReference r:id="rId3" w:type="default"/>
      <w:pgSz w:w="11906" w:h="16838"/>
      <w:pgMar w:top="2154" w:right="1701" w:bottom="1814" w:left="1701" w:header="851" w:footer="1417" w:gutter="0"/>
      <w:cols w:space="0" w:num="1"/>
      <w:rtlGutter w:val="0"/>
      <w:docGrid w:type="linesAndChars" w:linePitch="585" w:charSpace="164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Inria Serif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 New Roman (Headings CS)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Frutiger LT Com 45 Light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LinTimes">
    <w:altName w:val="Ebrima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Fszod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WzOh3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4"/>
      <w:numFmt w:val="japaneseCounting"/>
      <w:pStyle w:val="13"/>
      <w:lvlText w:val="%1、"/>
      <w:lvlJc w:val="left"/>
      <w:pPr>
        <w:tabs>
          <w:tab w:val="left" w:pos="720"/>
        </w:tabs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HorizontalSpacing w:val="109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lNDUzY2M4OGUyYWMwNmQ3ZjJlN2I3MDExZTk5ZTYifQ=="/>
  </w:docVars>
  <w:rsids>
    <w:rsidRoot w:val="00000000"/>
    <w:rsid w:val="02AE55E9"/>
    <w:rsid w:val="048028D5"/>
    <w:rsid w:val="059E6D9A"/>
    <w:rsid w:val="06705FB0"/>
    <w:rsid w:val="06A905A2"/>
    <w:rsid w:val="080777B5"/>
    <w:rsid w:val="080976BA"/>
    <w:rsid w:val="0B4A2BB3"/>
    <w:rsid w:val="0D46653D"/>
    <w:rsid w:val="14707DC5"/>
    <w:rsid w:val="16786CAC"/>
    <w:rsid w:val="18E00877"/>
    <w:rsid w:val="1D0E6C7A"/>
    <w:rsid w:val="26604706"/>
    <w:rsid w:val="394F0285"/>
    <w:rsid w:val="3B806E1C"/>
    <w:rsid w:val="48765B03"/>
    <w:rsid w:val="4A94231E"/>
    <w:rsid w:val="4AB033C8"/>
    <w:rsid w:val="4AB56A19"/>
    <w:rsid w:val="54101EF9"/>
    <w:rsid w:val="55387161"/>
    <w:rsid w:val="60EC7162"/>
    <w:rsid w:val="62C93A8C"/>
    <w:rsid w:val="65CA429D"/>
    <w:rsid w:val="6BC42770"/>
    <w:rsid w:val="7CD54893"/>
    <w:rsid w:val="7D4E7F45"/>
    <w:rsid w:val="7DFB36B3"/>
    <w:rsid w:val="7FE4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spacing w:line="560" w:lineRule="exact"/>
      <w:ind w:firstLine="721" w:firstLineChars="200"/>
    </w:pPr>
    <w:rPr>
      <w:rFonts w:ascii="Calibri"/>
    </w:rPr>
  </w:style>
  <w:style w:type="paragraph" w:styleId="3">
    <w:name w:val="Body Text"/>
    <w:basedOn w:val="1"/>
    <w:qFormat/>
    <w:uiPriority w:val="99"/>
    <w:rPr>
      <w:rFonts w:ascii="仿宋_GB2312" w:eastAsia="仿宋_GB2312"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7">
    <w:name w:val="Title"/>
    <w:basedOn w:val="1"/>
    <w:next w:val="1"/>
    <w:qFormat/>
    <w:uiPriority w:val="99"/>
    <w:pPr>
      <w:widowControl/>
      <w:spacing w:line="560" w:lineRule="exact"/>
      <w:contextualSpacing/>
    </w:pPr>
    <w:rPr>
      <w:rFonts w:ascii="Inria Serif" w:hAnsi="Inria Serif" w:cs="Times New Roman (Headings CS)"/>
      <w:b/>
      <w:color w:val="0084AD"/>
      <w:spacing w:val="-10"/>
      <w:kern w:val="28"/>
      <w:sz w:val="50"/>
      <w:szCs w:val="56"/>
      <w:lang w:val="en-AU" w:eastAsia="en-US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2">
    <w:name w:val="Editable table text"/>
    <w:basedOn w:val="1"/>
    <w:qFormat/>
    <w:uiPriority w:val="99"/>
    <w:pPr>
      <w:widowControl/>
    </w:pPr>
    <w:rPr>
      <w:rFonts w:ascii="Frutiger LT Com 45 Light" w:hAnsi="Frutiger LT Com 45 Light"/>
      <w:color w:val="62B5E5"/>
      <w:kern w:val="0"/>
      <w:sz w:val="20"/>
      <w:lang w:val="en-GB" w:eastAsia="en-US"/>
    </w:rPr>
  </w:style>
  <w:style w:type="paragraph" w:customStyle="1" w:styleId="13">
    <w:name w:val="Table Bullet"/>
    <w:basedOn w:val="1"/>
    <w:qFormat/>
    <w:uiPriority w:val="99"/>
    <w:pPr>
      <w:widowControl/>
      <w:numPr>
        <w:ilvl w:val="0"/>
        <w:numId w:val="1"/>
      </w:numPr>
      <w:spacing w:after="120"/>
      <w:ind w:left="284" w:hanging="284"/>
      <w:contextualSpacing/>
    </w:pPr>
    <w:rPr>
      <w:rFonts w:ascii="Frutiger LT Com 45 Light" w:hAnsi="Frutiger LT Com 45 Light"/>
      <w:kern w:val="0"/>
      <w:sz w:val="20"/>
      <w:szCs w:val="22"/>
      <w:lang w:val="en-GB" w:eastAsia="en-US"/>
    </w:rPr>
  </w:style>
  <w:style w:type="character" w:customStyle="1" w:styleId="14">
    <w:name w:val="Editable"/>
    <w:qFormat/>
    <w:uiPriority w:val="99"/>
    <w:rPr>
      <w:rFonts w:ascii="Times New Roman" w:hAnsi="Times New Roman" w:eastAsia="宋体"/>
      <w:color w:val="62B5E5"/>
    </w:rPr>
  </w:style>
  <w:style w:type="character" w:customStyle="1" w:styleId="15">
    <w:name w:val="font71"/>
    <w:basedOn w:val="10"/>
    <w:qFormat/>
    <w:uiPriority w:val="0"/>
    <w:rPr>
      <w:rFonts w:ascii="黑体" w:hAnsi="宋体" w:eastAsia="黑体" w:cs="黑体"/>
      <w:color w:val="000000"/>
      <w:sz w:val="22"/>
      <w:szCs w:val="22"/>
      <w:u w:val="none"/>
    </w:rPr>
  </w:style>
  <w:style w:type="character" w:customStyle="1" w:styleId="16">
    <w:name w:val="font1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font0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8">
    <w:name w:val="font81"/>
    <w:basedOn w:val="10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19">
    <w:name w:val="font21"/>
    <w:basedOn w:val="10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20">
    <w:name w:val="List Paragraph1"/>
    <w:basedOn w:val="1"/>
    <w:qFormat/>
    <w:uiPriority w:val="99"/>
    <w:pPr>
      <w:ind w:firstLine="420" w:firstLineChars="200"/>
    </w:pPr>
    <w:rPr>
      <w:rFonts w:ascii="Times New Roman" w:hAnsi="Times New Roman"/>
    </w:rPr>
  </w:style>
  <w:style w:type="character" w:customStyle="1" w:styleId="21">
    <w:name w:val="font31"/>
    <w:basedOn w:val="10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2">
    <w:name w:val="font51"/>
    <w:basedOn w:val="10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23">
    <w:name w:val="font6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4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5">
    <w:name w:val="font91"/>
    <w:basedOn w:val="10"/>
    <w:qFormat/>
    <w:uiPriority w:val="0"/>
    <w:rPr>
      <w:rFonts w:hint="eastAsia" w:ascii="宋体" w:hAnsi="宋体" w:eastAsia="宋体" w:cs="宋体"/>
      <w:b/>
      <w:bCs/>
      <w:color w:val="62B5E5"/>
      <w:sz w:val="24"/>
      <w:szCs w:val="24"/>
      <w:u w:val="none"/>
    </w:rPr>
  </w:style>
  <w:style w:type="paragraph" w:customStyle="1" w:styleId="2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9156</Words>
  <Characters>9396</Characters>
  <Paragraphs>973</Paragraphs>
  <TotalTime>1</TotalTime>
  <ScaleCrop>false</ScaleCrop>
  <LinksUpToDate>false</LinksUpToDate>
  <CharactersWithSpaces>9707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2022-09-16T00:54:00Z</dcterms:created>
  <dc:creator>刘闪</dc:creator>
  <cp:lastModifiedBy>朕</cp:lastModifiedBy>
  <cp:lastPrinted>2022-09-21T06:08:00Z</cp:lastPrinted>
  <dcterms:modified xsi:type="dcterms:W3CDTF">2022-10-14T06:33:49Z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A7946C4857644915BFC73F49130E96EF</vt:lpwstr>
  </property>
</Properties>
</file>